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tabs>
          <w:tab w:val="center" w:pos="4592"/>
          <w:tab w:val="left" w:pos="7935"/>
        </w:tabs>
        <w:spacing w:line="560" w:lineRule="exact"/>
        <w:jc w:val="center"/>
        <w:rPr>
          <w:rFonts w:ascii="黑体" w:hAnsi="黑体" w:eastAsia="黑体"/>
          <w:b/>
          <w:bCs/>
          <w:kern w:val="44"/>
          <w:sz w:val="32"/>
          <w:szCs w:val="32"/>
        </w:rPr>
      </w:pPr>
      <w:r>
        <w:rPr>
          <w:rFonts w:hint="eastAsia" w:ascii="黑体" w:hAnsi="黑体" w:eastAsia="黑体"/>
          <w:kern w:val="2"/>
          <w:sz w:val="36"/>
          <w:szCs w:val="36"/>
          <w:lang w:eastAsia="zh-CN"/>
        </w:rPr>
        <w:t>嘉通高速收费站机电设备更换工程</w:t>
      </w:r>
      <w:r>
        <w:rPr>
          <w:rFonts w:hint="eastAsia" w:ascii="黑体" w:hAnsi="黑体" w:eastAsia="黑体"/>
          <w:kern w:val="2"/>
          <w:sz w:val="36"/>
          <w:szCs w:val="36"/>
        </w:rPr>
        <w:t>招标公告</w:t>
      </w:r>
    </w:p>
    <w:p>
      <w:pPr>
        <w:pStyle w:val="4"/>
        <w:spacing w:line="360" w:lineRule="auto"/>
        <w:ind w:firstLine="602" w:firstLineChars="200"/>
        <w:jc w:val="center"/>
        <w:rPr>
          <w:rFonts w:ascii="黑体" w:eastAsia="黑体"/>
          <w:b/>
          <w:bCs/>
          <w:kern w:val="44"/>
          <w:sz w:val="30"/>
          <w:szCs w:val="30"/>
        </w:rPr>
      </w:pPr>
      <w:bookmarkStart w:id="0" w:name="OLE_LINK4"/>
    </w:p>
    <w:p>
      <w:pPr>
        <w:pStyle w:val="5"/>
        <w:spacing w:line="460" w:lineRule="exact"/>
        <w:jc w:val="both"/>
        <w:rPr>
          <w:rFonts w:ascii="宋体" w:hAnsi="宋体" w:eastAsia="宋体"/>
          <w:kern w:val="2"/>
          <w:szCs w:val="24"/>
        </w:rPr>
      </w:pPr>
      <w:bookmarkStart w:id="1" w:name="_Toc243128905"/>
      <w:bookmarkStart w:id="2" w:name="_Toc9421140"/>
      <w:bookmarkStart w:id="3" w:name="_Toc354819679"/>
      <w:bookmarkStart w:id="4" w:name="_Toc360434687"/>
      <w:r>
        <w:rPr>
          <w:rFonts w:hint="eastAsia" w:ascii="宋体" w:hAnsi="宋体" w:eastAsia="宋体"/>
          <w:kern w:val="2"/>
          <w:szCs w:val="24"/>
        </w:rPr>
        <w:t>1．招标条件</w:t>
      </w:r>
      <w:bookmarkEnd w:id="1"/>
      <w:bookmarkEnd w:id="2"/>
      <w:bookmarkEnd w:id="3"/>
      <w:bookmarkEnd w:id="4"/>
    </w:p>
    <w:p>
      <w:pPr>
        <w:pStyle w:val="4"/>
        <w:spacing w:line="460" w:lineRule="exact"/>
        <w:ind w:firstLine="420" w:firstLineChars="200"/>
        <w:jc w:val="both"/>
        <w:rPr>
          <w:rFonts w:ascii="宋体" w:hAnsi="宋体"/>
          <w:kern w:val="2"/>
          <w:sz w:val="21"/>
          <w:szCs w:val="21"/>
        </w:rPr>
      </w:pPr>
      <w:bookmarkStart w:id="5" w:name="_Toc360434688"/>
      <w:bookmarkStart w:id="6" w:name="_Toc354819680"/>
      <w:bookmarkStart w:id="7" w:name="_Toc243128906"/>
      <w:r>
        <w:rPr>
          <w:rFonts w:hint="eastAsia" w:ascii="宋体" w:hAnsi="宋体"/>
          <w:kern w:val="2"/>
          <w:sz w:val="21"/>
          <w:szCs w:val="21"/>
          <w:lang w:eastAsia="zh-CN"/>
        </w:rPr>
        <w:t>嘉通高速收费站机电设备更换工程</w:t>
      </w:r>
      <w:r>
        <w:rPr>
          <w:rFonts w:hint="eastAsia" w:ascii="宋体" w:hAnsi="宋体"/>
          <w:kern w:val="2"/>
          <w:sz w:val="21"/>
          <w:szCs w:val="21"/>
        </w:rPr>
        <w:t>,为浙江杭浦高速公路有限公司、嘉兴市杭州湾大桥投资开发有限责任公司、嘉兴市嘉绍高速公路投资开发有限责任公司及嘉兴市申嘉湖高速公路投资开发有限公司共同委托嘉兴市嘉通高速公路管理有限公司进行招标，项目预算已列</w:t>
      </w:r>
      <w:r>
        <w:rPr>
          <w:rFonts w:ascii="宋体" w:hAnsi="宋体"/>
          <w:kern w:val="2"/>
          <w:sz w:val="21"/>
          <w:szCs w:val="21"/>
        </w:rPr>
        <w:t>入</w:t>
      </w:r>
      <w:r>
        <w:rPr>
          <w:rFonts w:hint="eastAsia" w:ascii="宋体" w:hAnsi="宋体"/>
          <w:kern w:val="2"/>
          <w:sz w:val="21"/>
          <w:szCs w:val="21"/>
        </w:rPr>
        <w:t>各委托公司2020年度养护</w:t>
      </w:r>
      <w:r>
        <w:rPr>
          <w:rFonts w:ascii="宋体" w:hAnsi="宋体"/>
          <w:kern w:val="2"/>
          <w:sz w:val="21"/>
          <w:szCs w:val="21"/>
        </w:rPr>
        <w:t>计划</w:t>
      </w:r>
      <w:r>
        <w:rPr>
          <w:rFonts w:hint="eastAsia" w:ascii="宋体" w:hAnsi="宋体"/>
          <w:kern w:val="2"/>
          <w:sz w:val="21"/>
          <w:szCs w:val="21"/>
        </w:rPr>
        <w:t>。建设资金来源为自筹，本项目已具备招标条件，现对本项目进行公开招标，实行资格后审。</w:t>
      </w:r>
    </w:p>
    <w:p>
      <w:pPr>
        <w:pStyle w:val="5"/>
        <w:spacing w:line="460" w:lineRule="exact"/>
        <w:jc w:val="both"/>
        <w:rPr>
          <w:rFonts w:ascii="宋体" w:hAnsi="宋体" w:eastAsia="宋体"/>
          <w:kern w:val="2"/>
          <w:szCs w:val="24"/>
        </w:rPr>
      </w:pPr>
      <w:bookmarkStart w:id="8" w:name="_Toc9421141"/>
      <w:r>
        <w:rPr>
          <w:rFonts w:hint="eastAsia" w:ascii="宋体" w:hAnsi="宋体" w:eastAsia="宋体"/>
          <w:kern w:val="2"/>
          <w:szCs w:val="24"/>
        </w:rPr>
        <w:t>2．项目概况与招标范围</w:t>
      </w:r>
      <w:bookmarkEnd w:id="5"/>
      <w:bookmarkEnd w:id="6"/>
      <w:bookmarkEnd w:id="7"/>
      <w:bookmarkEnd w:id="8"/>
    </w:p>
    <w:p>
      <w:pPr>
        <w:pStyle w:val="4"/>
        <w:spacing w:line="460" w:lineRule="exact"/>
        <w:ind w:firstLine="420" w:firstLineChars="200"/>
        <w:jc w:val="both"/>
        <w:rPr>
          <w:rFonts w:hint="eastAsia" w:ascii="宋体" w:hAnsi="宋体"/>
          <w:kern w:val="2"/>
          <w:sz w:val="21"/>
          <w:szCs w:val="22"/>
        </w:rPr>
      </w:pPr>
      <w:bookmarkStart w:id="9" w:name="OLE_LINK2"/>
      <w:r>
        <w:rPr>
          <w:rFonts w:hint="eastAsia" w:ascii="宋体" w:hAnsi="宋体"/>
          <w:kern w:val="2"/>
          <w:sz w:val="21"/>
          <w:szCs w:val="22"/>
        </w:rPr>
        <w:t>2.1根据各</w:t>
      </w:r>
      <w:r>
        <w:rPr>
          <w:rFonts w:hint="eastAsia" w:ascii="宋体" w:hAnsi="宋体"/>
          <w:kern w:val="2"/>
          <w:sz w:val="21"/>
          <w:szCs w:val="21"/>
        </w:rPr>
        <w:t>委托公司</w:t>
      </w:r>
      <w:r>
        <w:rPr>
          <w:rFonts w:hint="eastAsia" w:ascii="宋体" w:hAnsi="宋体"/>
          <w:kern w:val="2"/>
          <w:sz w:val="21"/>
          <w:szCs w:val="22"/>
        </w:rPr>
        <w:t>2020年度机电采购计划，</w:t>
      </w:r>
      <w:r>
        <w:rPr>
          <w:rFonts w:hint="eastAsia" w:ascii="宋体" w:hAnsi="宋体"/>
          <w:kern w:val="2"/>
          <w:sz w:val="21"/>
          <w:szCs w:val="22"/>
          <w:lang w:val="en-US" w:eastAsia="zh-CN"/>
        </w:rPr>
        <w:t>需</w:t>
      </w:r>
      <w:r>
        <w:rPr>
          <w:rFonts w:hint="eastAsia" w:ascii="宋体" w:hAnsi="宋体"/>
          <w:kern w:val="2"/>
          <w:sz w:val="21"/>
          <w:szCs w:val="22"/>
        </w:rPr>
        <w:t>对一批运行稳定性及安全性已无法满足现有运营需</w:t>
      </w:r>
      <w:r>
        <w:rPr>
          <w:rFonts w:hint="eastAsia" w:ascii="宋体" w:hAnsi="宋体"/>
          <w:kern w:val="2"/>
          <w:sz w:val="21"/>
          <w:szCs w:val="22"/>
          <w:lang w:val="en-US" w:eastAsia="zh-CN"/>
        </w:rPr>
        <w:t>求的</w:t>
      </w:r>
      <w:r>
        <w:rPr>
          <w:rFonts w:hint="eastAsia" w:ascii="宋体" w:hAnsi="宋体"/>
          <w:kern w:val="2"/>
          <w:sz w:val="21"/>
          <w:szCs w:val="22"/>
        </w:rPr>
        <w:t>设备实施更换，</w:t>
      </w:r>
      <w:r>
        <w:rPr>
          <w:rFonts w:hint="eastAsia" w:ascii="宋体" w:hAnsi="宋体"/>
          <w:kern w:val="2"/>
          <w:sz w:val="21"/>
          <w:szCs w:val="22"/>
          <w:lang w:val="en-US" w:eastAsia="zh-CN"/>
        </w:rPr>
        <w:t>包括高速栏杆机、计算机工作站、车控器、车牌识别器，以上设备或是运行年份已经在7-8年以上，面临设备内部老化、维修备件难采的情况，或是运行性能已经无法满足现阶段收费业务的正常开展，</w:t>
      </w:r>
      <w:r>
        <w:rPr>
          <w:rFonts w:hint="eastAsia" w:ascii="宋体" w:hAnsi="宋体"/>
          <w:kern w:val="2"/>
          <w:sz w:val="21"/>
          <w:szCs w:val="22"/>
        </w:rPr>
        <w:t>介于以上</w:t>
      </w:r>
      <w:r>
        <w:rPr>
          <w:rFonts w:hint="eastAsia" w:ascii="宋体" w:hAnsi="宋体"/>
          <w:kern w:val="2"/>
          <w:sz w:val="21"/>
          <w:szCs w:val="22"/>
          <w:lang w:val="en-US" w:eastAsia="zh-CN"/>
        </w:rPr>
        <w:t>实际情况</w:t>
      </w:r>
      <w:r>
        <w:rPr>
          <w:rFonts w:hint="eastAsia" w:ascii="宋体" w:hAnsi="宋体"/>
          <w:kern w:val="2"/>
          <w:sz w:val="21"/>
          <w:szCs w:val="22"/>
        </w:rPr>
        <w:t>，</w:t>
      </w:r>
      <w:r>
        <w:rPr>
          <w:rFonts w:hint="eastAsia" w:ascii="宋体" w:hAnsi="宋体"/>
          <w:kern w:val="2"/>
          <w:sz w:val="21"/>
          <w:szCs w:val="22"/>
          <w:lang w:val="en-US" w:eastAsia="zh-CN"/>
        </w:rPr>
        <w:t>拟对以上设备进行整体更换，</w:t>
      </w:r>
      <w:r>
        <w:rPr>
          <w:rFonts w:hint="eastAsia" w:ascii="宋体" w:hAnsi="宋体"/>
          <w:kern w:val="2"/>
          <w:sz w:val="21"/>
          <w:szCs w:val="22"/>
        </w:rPr>
        <w:t>具体涉及</w:t>
      </w:r>
      <w:r>
        <w:rPr>
          <w:rFonts w:hint="eastAsia" w:ascii="宋体" w:hAnsi="宋体"/>
          <w:kern w:val="2"/>
          <w:sz w:val="21"/>
          <w:szCs w:val="22"/>
          <w:lang w:val="en-US" w:eastAsia="zh-CN"/>
        </w:rPr>
        <w:t>更换数量</w:t>
      </w:r>
      <w:r>
        <w:rPr>
          <w:rFonts w:hint="eastAsia" w:ascii="宋体" w:hAnsi="宋体"/>
          <w:kern w:val="2"/>
          <w:sz w:val="21"/>
          <w:szCs w:val="22"/>
        </w:rPr>
        <w:t>如下：</w:t>
      </w:r>
    </w:p>
    <w:tbl>
      <w:tblPr>
        <w:tblStyle w:val="2"/>
        <w:tblW w:w="4865" w:type="pct"/>
        <w:tblInd w:w="0" w:type="dxa"/>
        <w:tblLayout w:type="autofit"/>
        <w:tblCellMar>
          <w:top w:w="0" w:type="dxa"/>
          <w:left w:w="0" w:type="dxa"/>
          <w:bottom w:w="0" w:type="dxa"/>
          <w:right w:w="0" w:type="dxa"/>
        </w:tblCellMar>
      </w:tblPr>
      <w:tblGrid>
        <w:gridCol w:w="2630"/>
        <w:gridCol w:w="1285"/>
        <w:gridCol w:w="1389"/>
        <w:gridCol w:w="1470"/>
        <w:gridCol w:w="1337"/>
      </w:tblGrid>
      <w:tr>
        <w:tblPrEx>
          <w:tblCellMar>
            <w:top w:w="0" w:type="dxa"/>
            <w:left w:w="0" w:type="dxa"/>
            <w:bottom w:w="0" w:type="dxa"/>
            <w:right w:w="0" w:type="dxa"/>
          </w:tblCellMar>
        </w:tblPrEx>
        <w:trPr>
          <w:trHeight w:val="372" w:hRule="atLeast"/>
        </w:trPr>
        <w:tc>
          <w:tcPr>
            <w:tcW w:w="1621" w:type="pct"/>
            <w:vMerge w:val="restart"/>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设备名称</w:t>
            </w:r>
          </w:p>
        </w:tc>
        <w:tc>
          <w:tcPr>
            <w:tcW w:w="3378" w:type="pct"/>
            <w:gridSpan w:val="4"/>
            <w:tcBorders>
              <w:top w:val="single" w:color="000000" w:sz="8" w:space="0"/>
              <w:left w:val="nil"/>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数量</w:t>
            </w:r>
          </w:p>
        </w:tc>
      </w:tr>
      <w:tr>
        <w:tblPrEx>
          <w:tblCellMar>
            <w:top w:w="0" w:type="dxa"/>
            <w:left w:w="0" w:type="dxa"/>
            <w:bottom w:w="0" w:type="dxa"/>
            <w:right w:w="0" w:type="dxa"/>
          </w:tblCellMar>
        </w:tblPrEx>
        <w:trPr>
          <w:trHeight w:val="489" w:hRule="atLeast"/>
        </w:trPr>
        <w:tc>
          <w:tcPr>
            <w:tcW w:w="1621" w:type="pct"/>
            <w:vMerge w:val="continue"/>
            <w:tcBorders>
              <w:top w:val="single" w:color="000000" w:sz="8" w:space="0"/>
              <w:left w:val="single" w:color="000000" w:sz="8" w:space="0"/>
              <w:bottom w:val="single" w:color="000000" w:sz="8" w:space="0"/>
              <w:right w:val="single" w:color="000000" w:sz="8" w:space="0"/>
            </w:tcBorders>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792" w:type="pct"/>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杭浦</w:t>
            </w:r>
          </w:p>
        </w:tc>
        <w:tc>
          <w:tcPr>
            <w:tcW w:w="856" w:type="pct"/>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嘉绍</w:t>
            </w:r>
          </w:p>
        </w:tc>
        <w:tc>
          <w:tcPr>
            <w:tcW w:w="906" w:type="pct"/>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申嘉湖</w:t>
            </w:r>
          </w:p>
        </w:tc>
        <w:tc>
          <w:tcPr>
            <w:tcW w:w="824" w:type="pct"/>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北接线</w:t>
            </w:r>
          </w:p>
        </w:tc>
      </w:tr>
      <w:tr>
        <w:tblPrEx>
          <w:tblCellMar>
            <w:top w:w="0" w:type="dxa"/>
            <w:left w:w="0" w:type="dxa"/>
            <w:bottom w:w="0" w:type="dxa"/>
            <w:right w:w="0" w:type="dxa"/>
          </w:tblCellMar>
        </w:tblPrEx>
        <w:trPr>
          <w:trHeight w:val="398" w:hRule="atLeast"/>
        </w:trPr>
        <w:tc>
          <w:tcPr>
            <w:tcW w:w="1621" w:type="pct"/>
            <w:tcBorders>
              <w:top w:val="nil"/>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高速栏杆机</w:t>
            </w:r>
          </w:p>
        </w:tc>
        <w:tc>
          <w:tcPr>
            <w:tcW w:w="792" w:type="pct"/>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19</w:t>
            </w:r>
          </w:p>
        </w:tc>
        <w:tc>
          <w:tcPr>
            <w:tcW w:w="856" w:type="pct"/>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w:t>
            </w:r>
          </w:p>
        </w:tc>
        <w:tc>
          <w:tcPr>
            <w:tcW w:w="906" w:type="pct"/>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824" w:type="pct"/>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r>
      <w:tr>
        <w:tblPrEx>
          <w:tblCellMar>
            <w:top w:w="0" w:type="dxa"/>
            <w:left w:w="0" w:type="dxa"/>
            <w:bottom w:w="0" w:type="dxa"/>
            <w:right w:w="0" w:type="dxa"/>
          </w:tblCellMar>
        </w:tblPrEx>
        <w:trPr>
          <w:trHeight w:val="457" w:hRule="atLeast"/>
        </w:trPr>
        <w:tc>
          <w:tcPr>
            <w:tcW w:w="1621" w:type="pct"/>
            <w:tcBorders>
              <w:top w:val="nil"/>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计算机工作站</w:t>
            </w:r>
          </w:p>
        </w:tc>
        <w:tc>
          <w:tcPr>
            <w:tcW w:w="792" w:type="pct"/>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856" w:type="pct"/>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906" w:type="pct"/>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w:t>
            </w:r>
          </w:p>
        </w:tc>
        <w:tc>
          <w:tcPr>
            <w:tcW w:w="824" w:type="pct"/>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w:t>
            </w:r>
          </w:p>
        </w:tc>
      </w:tr>
      <w:tr>
        <w:tblPrEx>
          <w:tblCellMar>
            <w:top w:w="0" w:type="dxa"/>
            <w:left w:w="0" w:type="dxa"/>
            <w:bottom w:w="0" w:type="dxa"/>
            <w:right w:w="0" w:type="dxa"/>
          </w:tblCellMar>
        </w:tblPrEx>
        <w:trPr>
          <w:trHeight w:val="402" w:hRule="atLeast"/>
        </w:trPr>
        <w:tc>
          <w:tcPr>
            <w:tcW w:w="1621" w:type="pct"/>
            <w:tcBorders>
              <w:top w:val="nil"/>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车控器</w:t>
            </w:r>
          </w:p>
        </w:tc>
        <w:tc>
          <w:tcPr>
            <w:tcW w:w="792" w:type="pct"/>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w:t>
            </w:r>
          </w:p>
        </w:tc>
        <w:tc>
          <w:tcPr>
            <w:tcW w:w="856" w:type="pct"/>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18</w:t>
            </w:r>
          </w:p>
        </w:tc>
        <w:tc>
          <w:tcPr>
            <w:tcW w:w="906" w:type="pct"/>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18</w:t>
            </w:r>
          </w:p>
        </w:tc>
        <w:tc>
          <w:tcPr>
            <w:tcW w:w="824" w:type="pct"/>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w:t>
            </w:r>
          </w:p>
        </w:tc>
      </w:tr>
      <w:tr>
        <w:tblPrEx>
          <w:tblCellMar>
            <w:top w:w="0" w:type="dxa"/>
            <w:left w:w="0" w:type="dxa"/>
            <w:bottom w:w="0" w:type="dxa"/>
            <w:right w:w="0" w:type="dxa"/>
          </w:tblCellMar>
        </w:tblPrEx>
        <w:trPr>
          <w:trHeight w:val="381" w:hRule="atLeast"/>
        </w:trPr>
        <w:tc>
          <w:tcPr>
            <w:tcW w:w="1621" w:type="pct"/>
            <w:tcBorders>
              <w:top w:val="nil"/>
              <w:left w:val="single" w:color="000000" w:sz="8" w:space="0"/>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车牌识别</w:t>
            </w:r>
          </w:p>
        </w:tc>
        <w:tc>
          <w:tcPr>
            <w:tcW w:w="792" w:type="pct"/>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w:t>
            </w:r>
          </w:p>
        </w:tc>
        <w:tc>
          <w:tcPr>
            <w:tcW w:w="856" w:type="pct"/>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w:t>
            </w:r>
          </w:p>
        </w:tc>
        <w:tc>
          <w:tcPr>
            <w:tcW w:w="906" w:type="pct"/>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824" w:type="pct"/>
            <w:tcBorders>
              <w:top w:val="nil"/>
              <w:left w:val="nil"/>
              <w:bottom w:val="single" w:color="000000" w:sz="8" w:space="0"/>
              <w:right w:val="single" w:color="000000" w:sz="8"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r>
    </w:tbl>
    <w:p>
      <w:pPr>
        <w:pStyle w:val="4"/>
        <w:spacing w:line="460" w:lineRule="exact"/>
        <w:ind w:firstLine="420" w:firstLineChars="200"/>
        <w:jc w:val="both"/>
        <w:rPr>
          <w:rFonts w:ascii="宋体" w:hAnsi="宋体"/>
          <w:kern w:val="2"/>
          <w:sz w:val="21"/>
          <w:szCs w:val="22"/>
        </w:rPr>
      </w:pPr>
      <w:r>
        <w:rPr>
          <w:rFonts w:hint="eastAsia" w:ascii="宋体" w:hAnsi="宋体"/>
          <w:kern w:val="2"/>
          <w:sz w:val="21"/>
          <w:szCs w:val="22"/>
        </w:rPr>
        <w:t>本次招标范围的预算约</w:t>
      </w:r>
      <w:r>
        <w:rPr>
          <w:rFonts w:hint="eastAsia" w:ascii="宋体" w:hAnsi="宋体"/>
          <w:kern w:val="2"/>
          <w:sz w:val="21"/>
          <w:szCs w:val="22"/>
          <w:lang w:val="en-US" w:eastAsia="zh-CN"/>
        </w:rPr>
        <w:t>185</w:t>
      </w:r>
      <w:r>
        <w:rPr>
          <w:rFonts w:hint="eastAsia" w:ascii="宋体" w:hAnsi="宋体"/>
          <w:kern w:val="2"/>
          <w:sz w:val="21"/>
          <w:szCs w:val="22"/>
        </w:rPr>
        <w:t>万元。</w:t>
      </w:r>
    </w:p>
    <w:bookmarkEnd w:id="9"/>
    <w:p>
      <w:pPr>
        <w:pStyle w:val="4"/>
        <w:spacing w:line="460" w:lineRule="exact"/>
        <w:ind w:firstLine="420" w:firstLineChars="200"/>
        <w:jc w:val="both"/>
        <w:rPr>
          <w:rFonts w:ascii="宋体" w:hAnsi="宋体"/>
          <w:kern w:val="2"/>
          <w:sz w:val="21"/>
          <w:szCs w:val="21"/>
        </w:rPr>
      </w:pPr>
      <w:r>
        <w:rPr>
          <w:rFonts w:hint="eastAsia" w:ascii="宋体" w:hAnsi="宋体"/>
          <w:kern w:val="2"/>
          <w:sz w:val="21"/>
          <w:szCs w:val="21"/>
        </w:rPr>
        <w:t>2.2 本次招标计划设1个标段，即：</w:t>
      </w:r>
    </w:p>
    <w:p>
      <w:pPr>
        <w:pStyle w:val="4"/>
        <w:spacing w:line="460" w:lineRule="exact"/>
        <w:ind w:firstLine="420" w:firstLineChars="200"/>
        <w:jc w:val="both"/>
        <w:rPr>
          <w:rFonts w:hint="eastAsia" w:ascii="宋体" w:hAnsi="宋体"/>
          <w:kern w:val="2"/>
          <w:sz w:val="21"/>
          <w:szCs w:val="21"/>
        </w:rPr>
      </w:pPr>
      <w:r>
        <w:rPr>
          <w:rFonts w:hint="eastAsia" w:ascii="宋体" w:hAnsi="宋体"/>
          <w:kern w:val="2"/>
          <w:sz w:val="21"/>
          <w:szCs w:val="21"/>
        </w:rPr>
        <w:t>第JD01标段：杭浦高速、嘉绍高速、申嘉湖高速和杭州湾大桥北接线各收费站</w:t>
      </w:r>
      <w:r>
        <w:rPr>
          <w:rFonts w:hint="eastAsia" w:ascii="宋体" w:hAnsi="宋体"/>
          <w:kern w:val="2"/>
          <w:sz w:val="21"/>
          <w:szCs w:val="21"/>
          <w:lang w:val="en-US" w:eastAsia="zh-CN"/>
        </w:rPr>
        <w:t>的高速栏杆机、计算机工作站、车控器、车牌识别器等设备的</w:t>
      </w:r>
      <w:r>
        <w:rPr>
          <w:rFonts w:hint="eastAsia" w:ascii="宋体" w:hAnsi="宋体"/>
          <w:kern w:val="2"/>
          <w:sz w:val="21"/>
          <w:szCs w:val="22"/>
        </w:rPr>
        <w:t>更换工作</w:t>
      </w:r>
      <w:r>
        <w:rPr>
          <w:rFonts w:hint="eastAsia" w:ascii="宋体" w:hAnsi="宋体"/>
          <w:kern w:val="2"/>
          <w:sz w:val="21"/>
          <w:szCs w:val="21"/>
        </w:rPr>
        <w:t>的施工完成、缺陷责任期缺陷修复及保修期保修责任。</w:t>
      </w:r>
    </w:p>
    <w:p>
      <w:pPr>
        <w:pStyle w:val="4"/>
        <w:spacing w:line="412" w:lineRule="exact"/>
        <w:ind w:firstLine="420" w:firstLineChars="200"/>
        <w:jc w:val="both"/>
        <w:rPr>
          <w:rFonts w:ascii="宋体" w:hAnsi="宋体"/>
          <w:kern w:val="2"/>
          <w:sz w:val="21"/>
          <w:szCs w:val="21"/>
          <w:highlight w:val="none"/>
        </w:rPr>
      </w:pPr>
      <w:r>
        <w:rPr>
          <w:rFonts w:hint="eastAsia" w:ascii="宋体" w:hAnsi="宋体"/>
          <w:kern w:val="2"/>
          <w:sz w:val="21"/>
          <w:szCs w:val="21"/>
          <w:highlight w:val="none"/>
        </w:rPr>
        <w:t>计划工期：</w:t>
      </w:r>
      <w:r>
        <w:rPr>
          <w:rFonts w:hint="eastAsia" w:ascii="宋体" w:hAnsi="宋体"/>
          <w:kern w:val="2"/>
          <w:sz w:val="21"/>
          <w:szCs w:val="21"/>
          <w:highlight w:val="none"/>
          <w:lang w:val="en-US" w:eastAsia="zh-CN"/>
        </w:rPr>
        <w:t>45</w:t>
      </w:r>
      <w:r>
        <w:rPr>
          <w:rFonts w:hint="eastAsia" w:ascii="宋体" w:hAnsi="宋体"/>
          <w:kern w:val="2"/>
          <w:sz w:val="21"/>
          <w:szCs w:val="21"/>
          <w:highlight w:val="none"/>
        </w:rPr>
        <w:t>个日历天，试运行期6个月，缺陷责任期1年，保修期2年。</w:t>
      </w:r>
    </w:p>
    <w:p>
      <w:pPr>
        <w:pStyle w:val="5"/>
        <w:spacing w:line="460" w:lineRule="exact"/>
        <w:jc w:val="both"/>
        <w:rPr>
          <w:rFonts w:ascii="宋体" w:hAnsi="宋体" w:eastAsia="宋体"/>
          <w:kern w:val="2"/>
          <w:szCs w:val="24"/>
          <w:highlight w:val="none"/>
        </w:rPr>
      </w:pPr>
      <w:bookmarkStart w:id="10" w:name="_Toc360434689"/>
      <w:bookmarkStart w:id="11" w:name="_Toc243128907"/>
      <w:bookmarkStart w:id="12" w:name="_Toc354819681"/>
      <w:bookmarkStart w:id="13" w:name="_Toc9421142"/>
      <w:r>
        <w:rPr>
          <w:rFonts w:hint="eastAsia" w:ascii="宋体" w:hAnsi="宋体" w:eastAsia="宋体"/>
          <w:kern w:val="2"/>
          <w:szCs w:val="24"/>
          <w:highlight w:val="none"/>
        </w:rPr>
        <w:t>3．投标人资格要求</w:t>
      </w:r>
      <w:bookmarkEnd w:id="10"/>
      <w:bookmarkEnd w:id="11"/>
      <w:bookmarkEnd w:id="12"/>
      <w:bookmarkEnd w:id="13"/>
    </w:p>
    <w:p>
      <w:pPr>
        <w:pStyle w:val="4"/>
        <w:spacing w:line="440" w:lineRule="exact"/>
        <w:ind w:firstLine="315" w:firstLineChars="150"/>
        <w:jc w:val="both"/>
        <w:rPr>
          <w:kern w:val="2"/>
          <w:sz w:val="21"/>
          <w:szCs w:val="21"/>
          <w:highlight w:val="none"/>
        </w:rPr>
      </w:pPr>
      <w:bookmarkStart w:id="14" w:name="_Toc243128908"/>
      <w:r>
        <w:rPr>
          <w:rFonts w:hint="eastAsia" w:ascii="宋体" w:hAnsi="宋体"/>
          <w:kern w:val="2"/>
          <w:sz w:val="21"/>
          <w:szCs w:val="21"/>
          <w:highlight w:val="none"/>
        </w:rPr>
        <w:t>3.1本次</w:t>
      </w:r>
      <w:r>
        <w:rPr>
          <w:rFonts w:hint="eastAsia" w:hAnsi="宋体"/>
          <w:kern w:val="2"/>
          <w:sz w:val="21"/>
          <w:szCs w:val="21"/>
          <w:highlight w:val="none"/>
        </w:rPr>
        <w:t>施工</w:t>
      </w:r>
      <w:r>
        <w:rPr>
          <w:rFonts w:hint="eastAsia" w:ascii="宋体" w:hAnsi="宋体"/>
          <w:kern w:val="2"/>
          <w:sz w:val="21"/>
          <w:szCs w:val="21"/>
          <w:highlight w:val="none"/>
        </w:rPr>
        <w:t>招标要求投标人具备独立法人资格、</w:t>
      </w:r>
      <w:r>
        <w:rPr>
          <w:rFonts w:hAnsi="宋体" w:cs="Arial"/>
          <w:bCs/>
          <w:kern w:val="2"/>
          <w:sz w:val="21"/>
          <w:szCs w:val="22"/>
          <w:highlight w:val="none"/>
        </w:rPr>
        <w:t>公路交通工程（公路机电工程）专业承包一级资质</w:t>
      </w:r>
      <w:r>
        <w:rPr>
          <w:rFonts w:hint="eastAsia" w:hAnsi="宋体" w:cs="Arial"/>
          <w:bCs/>
          <w:kern w:val="2"/>
          <w:sz w:val="21"/>
          <w:szCs w:val="22"/>
          <w:highlight w:val="none"/>
        </w:rPr>
        <w:t>。</w:t>
      </w:r>
    </w:p>
    <w:p>
      <w:pPr>
        <w:pStyle w:val="4"/>
        <w:spacing w:line="440" w:lineRule="exact"/>
        <w:ind w:firstLine="315" w:firstLineChars="150"/>
        <w:jc w:val="both"/>
        <w:rPr>
          <w:rFonts w:ascii="宋体" w:hAnsi="宋体"/>
          <w:kern w:val="2"/>
          <w:sz w:val="21"/>
          <w:szCs w:val="21"/>
          <w:highlight w:val="none"/>
        </w:rPr>
      </w:pPr>
      <w:r>
        <w:rPr>
          <w:rFonts w:hint="eastAsia" w:ascii="宋体" w:hAnsi="宋体"/>
          <w:kern w:val="2"/>
          <w:sz w:val="21"/>
          <w:szCs w:val="21"/>
          <w:highlight w:val="none"/>
        </w:rPr>
        <w:t>3.2 投标人应列入交通运输部网站(Http://www.mo</w:t>
      </w:r>
      <w:r>
        <w:rPr>
          <w:rFonts w:ascii="宋体" w:hAnsi="宋体"/>
          <w:kern w:val="2"/>
          <w:sz w:val="21"/>
          <w:szCs w:val="21"/>
          <w:highlight w:val="none"/>
        </w:rPr>
        <w:t>t</w:t>
      </w:r>
      <w:r>
        <w:rPr>
          <w:rFonts w:hint="eastAsia" w:ascii="宋体" w:hAnsi="宋体"/>
          <w:kern w:val="2"/>
          <w:sz w:val="21"/>
          <w:szCs w:val="21"/>
          <w:highlight w:val="none"/>
        </w:rPr>
        <w:t>.gov.cn)全国公路建设市场信用信息管理系统最新公布的公路工程施工资质企业名录，且投标人名称与上述名录相符。</w:t>
      </w:r>
    </w:p>
    <w:p>
      <w:pPr>
        <w:pStyle w:val="4"/>
        <w:spacing w:line="440" w:lineRule="exact"/>
        <w:ind w:firstLine="315" w:firstLineChars="150"/>
        <w:jc w:val="both"/>
        <w:rPr>
          <w:rFonts w:ascii="宋体" w:hAnsi="宋体"/>
          <w:kern w:val="2"/>
          <w:sz w:val="21"/>
          <w:szCs w:val="21"/>
          <w:highlight w:val="none"/>
        </w:rPr>
      </w:pPr>
      <w:r>
        <w:rPr>
          <w:rFonts w:hint="eastAsia" w:ascii="宋体" w:hAnsi="宋体"/>
          <w:kern w:val="2"/>
          <w:sz w:val="21"/>
          <w:szCs w:val="21"/>
          <w:highlight w:val="none"/>
        </w:rPr>
        <w:t>3.</w:t>
      </w:r>
      <w:r>
        <w:rPr>
          <w:rFonts w:hint="eastAsia" w:ascii="宋体" w:hAnsi="宋体"/>
          <w:kern w:val="2"/>
          <w:sz w:val="21"/>
          <w:szCs w:val="21"/>
          <w:highlight w:val="none"/>
          <w:lang w:val="en-US" w:eastAsia="zh-CN"/>
        </w:rPr>
        <w:t>3</w:t>
      </w:r>
      <w:r>
        <w:rPr>
          <w:rFonts w:hint="eastAsia" w:ascii="宋体" w:hAnsi="宋体"/>
          <w:kern w:val="2"/>
          <w:sz w:val="21"/>
          <w:szCs w:val="21"/>
          <w:highlight w:val="none"/>
        </w:rPr>
        <w:t>投标人</w:t>
      </w:r>
      <w:r>
        <w:rPr>
          <w:rFonts w:hint="eastAsia" w:ascii="宋体" w:hAnsi="宋体"/>
          <w:kern w:val="2"/>
          <w:sz w:val="21"/>
          <w:szCs w:val="21"/>
          <w:highlight w:val="none"/>
          <w:lang w:val="en-US" w:eastAsia="zh-CN"/>
        </w:rPr>
        <w:t>自2015年7月1日（以实际交工日期为准）以来，按一个标段独立完成过一个合同金额不少于50万元的高速公路机电工程项目。</w:t>
      </w:r>
    </w:p>
    <w:p>
      <w:pPr>
        <w:pStyle w:val="4"/>
        <w:spacing w:line="440" w:lineRule="exact"/>
        <w:ind w:firstLine="315" w:firstLineChars="150"/>
        <w:jc w:val="both"/>
        <w:rPr>
          <w:rFonts w:hint="eastAsia" w:ascii="宋体" w:hAnsi="宋体"/>
          <w:kern w:val="2"/>
          <w:sz w:val="21"/>
          <w:szCs w:val="21"/>
        </w:rPr>
      </w:pPr>
      <w:r>
        <w:rPr>
          <w:rFonts w:hint="eastAsia" w:ascii="宋体" w:hAnsi="宋体"/>
          <w:kern w:val="2"/>
          <w:sz w:val="21"/>
          <w:szCs w:val="21"/>
          <w:lang w:val="en-US" w:eastAsia="zh-CN"/>
        </w:rPr>
        <w:t xml:space="preserve">3.4 </w:t>
      </w:r>
      <w:r>
        <w:rPr>
          <w:rFonts w:hint="eastAsia" w:ascii="宋体" w:hAnsi="宋体"/>
          <w:kern w:val="2"/>
          <w:sz w:val="21"/>
          <w:szCs w:val="21"/>
        </w:rPr>
        <w:t>2017年7月1日以来，投标人无行贿犯罪行为；</w:t>
      </w:r>
    </w:p>
    <w:p>
      <w:pPr>
        <w:pStyle w:val="4"/>
        <w:spacing w:line="440" w:lineRule="exact"/>
        <w:ind w:firstLine="315" w:firstLineChars="150"/>
        <w:jc w:val="both"/>
        <w:rPr>
          <w:rFonts w:hint="eastAsia" w:ascii="宋体" w:hAnsi="宋体"/>
          <w:kern w:val="2"/>
          <w:sz w:val="21"/>
          <w:szCs w:val="21"/>
          <w:lang w:val="en-US" w:eastAsia="zh-CN"/>
        </w:rPr>
      </w:pPr>
      <w:r>
        <w:rPr>
          <w:rFonts w:hint="eastAsia" w:ascii="宋体" w:hAnsi="宋体"/>
          <w:kern w:val="2"/>
          <w:sz w:val="21"/>
          <w:szCs w:val="21"/>
          <w:lang w:val="en-US" w:eastAsia="zh-CN"/>
        </w:rPr>
        <w:t>3.5项目经理资质要求：</w:t>
      </w:r>
    </w:p>
    <w:p>
      <w:pPr>
        <w:pStyle w:val="4"/>
        <w:spacing w:line="440" w:lineRule="exact"/>
        <w:ind w:firstLine="315" w:firstLineChars="150"/>
        <w:jc w:val="both"/>
        <w:rPr>
          <w:rFonts w:hint="eastAsia" w:ascii="宋体" w:hAnsi="宋体"/>
          <w:kern w:val="2"/>
          <w:sz w:val="21"/>
          <w:szCs w:val="21"/>
          <w:highlight w:val="none"/>
          <w:lang w:val="en-US" w:eastAsia="zh-CN"/>
        </w:rPr>
      </w:pPr>
      <w:r>
        <w:rPr>
          <w:rFonts w:hint="eastAsia" w:ascii="宋体" w:hAnsi="宋体"/>
          <w:kern w:val="2"/>
          <w:sz w:val="21"/>
          <w:szCs w:val="21"/>
          <w:highlight w:val="none"/>
          <w:lang w:val="en-US" w:eastAsia="zh-CN"/>
        </w:rPr>
        <w:t>（1）、持有公路工程专业或机电工程专业壹级注册建造师证书，工程师及以上技术职称，并具有建筑施工企业项目负责人安全生产考核合格证书（B证）。</w:t>
      </w:r>
    </w:p>
    <w:p>
      <w:pPr>
        <w:pStyle w:val="4"/>
        <w:spacing w:line="440" w:lineRule="exact"/>
        <w:ind w:firstLine="315" w:firstLineChars="150"/>
        <w:jc w:val="both"/>
        <w:rPr>
          <w:rFonts w:hint="eastAsia" w:ascii="宋体" w:hAnsi="宋体"/>
          <w:kern w:val="2"/>
          <w:sz w:val="21"/>
          <w:szCs w:val="21"/>
          <w:lang w:val="en-US" w:eastAsia="zh-CN"/>
        </w:rPr>
      </w:pPr>
      <w:r>
        <w:rPr>
          <w:rFonts w:hint="eastAsia" w:ascii="宋体" w:hAnsi="宋体"/>
          <w:kern w:val="2"/>
          <w:sz w:val="21"/>
          <w:szCs w:val="21"/>
          <w:lang w:val="en-US" w:eastAsia="zh-CN"/>
        </w:rPr>
        <w:t>（2）、拟委任项目经理未在其他在建合同工程上任项目经理。</w:t>
      </w:r>
    </w:p>
    <w:p>
      <w:pPr>
        <w:pStyle w:val="4"/>
        <w:spacing w:line="440" w:lineRule="exact"/>
        <w:ind w:firstLine="315" w:firstLineChars="150"/>
        <w:jc w:val="both"/>
        <w:rPr>
          <w:rFonts w:hint="eastAsia" w:ascii="宋体" w:hAnsi="宋体"/>
          <w:kern w:val="2"/>
          <w:sz w:val="21"/>
          <w:szCs w:val="21"/>
          <w:lang w:val="en-US" w:eastAsia="zh-CN"/>
        </w:rPr>
      </w:pPr>
      <w:r>
        <w:rPr>
          <w:rFonts w:hint="eastAsia" w:ascii="宋体" w:hAnsi="宋体"/>
          <w:kern w:val="2"/>
          <w:sz w:val="21"/>
          <w:szCs w:val="21"/>
          <w:lang w:val="en-US" w:eastAsia="zh-CN"/>
        </w:rPr>
        <w:t>（3）、2017年7月1日以来，拟委任项目经理无行贿犯罪行为。</w:t>
      </w:r>
    </w:p>
    <w:p>
      <w:pPr>
        <w:pStyle w:val="4"/>
        <w:spacing w:line="440" w:lineRule="exact"/>
        <w:ind w:firstLine="315" w:firstLineChars="150"/>
        <w:jc w:val="both"/>
        <w:rPr>
          <w:rFonts w:hint="eastAsia" w:ascii="宋体" w:hAnsi="宋体"/>
          <w:kern w:val="2"/>
          <w:sz w:val="21"/>
          <w:szCs w:val="21"/>
        </w:rPr>
      </w:pPr>
      <w:r>
        <w:rPr>
          <w:rFonts w:hint="eastAsia" w:ascii="宋体" w:hAnsi="宋体"/>
          <w:kern w:val="2"/>
          <w:sz w:val="21"/>
          <w:szCs w:val="21"/>
        </w:rPr>
        <w:t>3.</w:t>
      </w:r>
      <w:r>
        <w:rPr>
          <w:rFonts w:hint="eastAsia" w:ascii="宋体" w:hAnsi="宋体"/>
          <w:kern w:val="2"/>
          <w:sz w:val="21"/>
          <w:szCs w:val="21"/>
          <w:lang w:val="en-US" w:eastAsia="zh-CN"/>
        </w:rPr>
        <w:t>6</w:t>
      </w:r>
      <w:r>
        <w:rPr>
          <w:rFonts w:hint="eastAsia" w:ascii="宋体" w:hAnsi="宋体"/>
          <w:kern w:val="2"/>
          <w:sz w:val="21"/>
          <w:szCs w:val="21"/>
        </w:rPr>
        <w:t>与招标人存在利害关系可能影响招标公正性的法人、其他组织或者个人，不得参加投标；单位负责人为同一人或者存在控股（含</w:t>
      </w:r>
      <w:r>
        <w:rPr>
          <w:rFonts w:ascii="宋体" w:hAnsi="宋体"/>
          <w:kern w:val="2"/>
          <w:sz w:val="21"/>
          <w:szCs w:val="21"/>
        </w:rPr>
        <w:t>法定代表人控</w:t>
      </w:r>
      <w:r>
        <w:rPr>
          <w:rFonts w:hint="eastAsia" w:ascii="宋体" w:hAnsi="宋体"/>
          <w:kern w:val="2"/>
          <w:sz w:val="21"/>
          <w:szCs w:val="21"/>
        </w:rPr>
        <w:t>股</w:t>
      </w:r>
      <w:r>
        <w:rPr>
          <w:rFonts w:ascii="宋体" w:hAnsi="宋体"/>
          <w:kern w:val="2"/>
          <w:sz w:val="21"/>
          <w:szCs w:val="21"/>
        </w:rPr>
        <w:t>）</w:t>
      </w:r>
      <w:r>
        <w:rPr>
          <w:rFonts w:hint="eastAsia" w:ascii="宋体" w:hAnsi="宋体"/>
          <w:kern w:val="2"/>
          <w:sz w:val="21"/>
          <w:szCs w:val="21"/>
        </w:rPr>
        <w:t>、管理关系的不同单位，不得同时参加本标段投标，否则均按否决投标处理。</w:t>
      </w:r>
    </w:p>
    <w:p>
      <w:pPr>
        <w:pStyle w:val="4"/>
        <w:spacing w:line="440" w:lineRule="exact"/>
        <w:ind w:firstLine="315" w:firstLineChars="150"/>
        <w:jc w:val="both"/>
        <w:rPr>
          <w:rFonts w:hint="eastAsia" w:ascii="宋体" w:hAnsi="宋体"/>
          <w:kern w:val="2"/>
          <w:sz w:val="21"/>
          <w:szCs w:val="21"/>
        </w:rPr>
      </w:pPr>
      <w:r>
        <w:rPr>
          <w:rFonts w:hint="eastAsia" w:ascii="宋体" w:hAnsi="宋体"/>
          <w:kern w:val="2"/>
          <w:sz w:val="21"/>
          <w:szCs w:val="21"/>
        </w:rPr>
        <w:t>3.</w:t>
      </w:r>
      <w:r>
        <w:rPr>
          <w:rFonts w:hint="eastAsia" w:ascii="宋体" w:hAnsi="宋体"/>
          <w:kern w:val="2"/>
          <w:sz w:val="21"/>
          <w:szCs w:val="21"/>
          <w:lang w:val="en-US" w:eastAsia="zh-CN"/>
        </w:rPr>
        <w:t>7</w:t>
      </w:r>
      <w:r>
        <w:rPr>
          <w:rFonts w:hint="eastAsia" w:ascii="宋体" w:hAnsi="宋体"/>
          <w:kern w:val="2"/>
          <w:sz w:val="21"/>
          <w:szCs w:val="21"/>
        </w:rPr>
        <w:t xml:space="preserve">投标人不得被“信用中国”网站（http://www.creditchina.gov.cn）和“信用中国（浙江）”网站（http://credit.zj.gov.cn）列入严重失信黑名单。 </w:t>
      </w:r>
    </w:p>
    <w:p>
      <w:pPr>
        <w:pStyle w:val="4"/>
        <w:spacing w:line="440" w:lineRule="exact"/>
        <w:ind w:firstLine="315" w:firstLineChars="150"/>
        <w:jc w:val="both"/>
        <w:rPr>
          <w:rFonts w:hint="eastAsia" w:ascii="宋体" w:hAnsi="宋体"/>
          <w:kern w:val="2"/>
          <w:sz w:val="21"/>
          <w:szCs w:val="21"/>
        </w:rPr>
      </w:pPr>
      <w:r>
        <w:rPr>
          <w:rFonts w:hint="eastAsia" w:ascii="宋体" w:hAnsi="宋体"/>
          <w:kern w:val="2"/>
          <w:sz w:val="21"/>
          <w:szCs w:val="21"/>
          <w:highlight w:val="none"/>
          <w:lang w:val="en-US" w:eastAsia="zh-CN"/>
        </w:rPr>
        <w:t>3.8</w:t>
      </w:r>
      <w:r>
        <w:rPr>
          <w:rFonts w:hint="eastAsia" w:ascii="宋体" w:hAnsi="宋体"/>
          <w:kern w:val="2"/>
          <w:sz w:val="21"/>
          <w:szCs w:val="21"/>
          <w:highlight w:val="none"/>
        </w:rPr>
        <w:t>本次招标不接受联合体投标。</w:t>
      </w:r>
      <w:r>
        <w:rPr>
          <w:rFonts w:ascii="宋体" w:hAnsi="宋体"/>
          <w:kern w:val="2"/>
          <w:sz w:val="21"/>
          <w:szCs w:val="21"/>
          <w:highlight w:val="none"/>
        </w:rPr>
        <w:t xml:space="preserve"> </w:t>
      </w:r>
    </w:p>
    <w:p>
      <w:pPr>
        <w:pStyle w:val="5"/>
        <w:spacing w:line="460" w:lineRule="exact"/>
        <w:jc w:val="both"/>
        <w:rPr>
          <w:rFonts w:ascii="宋体" w:hAnsi="宋体" w:eastAsia="宋体"/>
          <w:kern w:val="2"/>
          <w:szCs w:val="24"/>
        </w:rPr>
      </w:pPr>
      <w:bookmarkStart w:id="15" w:name="_Toc9421143"/>
      <w:bookmarkStart w:id="16" w:name="_Toc360434690"/>
      <w:bookmarkStart w:id="17" w:name="_Toc354819682"/>
      <w:r>
        <w:rPr>
          <w:rFonts w:hint="eastAsia" w:ascii="宋体" w:hAnsi="宋体" w:eastAsia="宋体"/>
          <w:kern w:val="2"/>
          <w:szCs w:val="24"/>
        </w:rPr>
        <w:t>4．招标文件的获取</w:t>
      </w:r>
      <w:bookmarkEnd w:id="14"/>
      <w:bookmarkEnd w:id="15"/>
      <w:bookmarkEnd w:id="16"/>
      <w:bookmarkEnd w:id="17"/>
    </w:p>
    <w:p>
      <w:pPr>
        <w:pStyle w:val="4"/>
        <w:spacing w:line="440" w:lineRule="exact"/>
        <w:ind w:firstLine="315" w:firstLineChars="150"/>
        <w:jc w:val="both"/>
        <w:rPr>
          <w:rFonts w:hint="eastAsia" w:ascii="宋体" w:hAnsi="宋体"/>
          <w:kern w:val="2"/>
          <w:sz w:val="21"/>
          <w:szCs w:val="21"/>
        </w:rPr>
      </w:pPr>
      <w:bookmarkStart w:id="18" w:name="_Toc252717923"/>
      <w:bookmarkStart w:id="19" w:name="_Toc354819683"/>
      <w:bookmarkStart w:id="20" w:name="_Toc360434691"/>
      <w:bookmarkStart w:id="21" w:name="_Toc9421144"/>
      <w:bookmarkStart w:id="22" w:name="_Toc243128911"/>
      <w:r>
        <w:rPr>
          <w:rFonts w:hint="eastAsia" w:ascii="宋体" w:hAnsi="宋体"/>
          <w:kern w:val="2"/>
          <w:sz w:val="21"/>
          <w:szCs w:val="21"/>
        </w:rPr>
        <w:t>4.1、凡有意参与投标的企业：请</w:t>
      </w:r>
      <w:r>
        <w:rPr>
          <w:rFonts w:hint="eastAsia" w:ascii="宋体" w:hAnsi="宋体"/>
          <w:color w:val="FF0000"/>
          <w:kern w:val="2"/>
          <w:sz w:val="21"/>
          <w:szCs w:val="21"/>
        </w:rPr>
        <w:t>于2020年</w:t>
      </w:r>
      <w:r>
        <w:rPr>
          <w:rFonts w:hint="eastAsia" w:ascii="宋体" w:hAnsi="宋体"/>
          <w:color w:val="FF0000"/>
          <w:kern w:val="2"/>
          <w:sz w:val="21"/>
          <w:szCs w:val="21"/>
          <w:lang w:val="en-US" w:eastAsia="zh-CN"/>
        </w:rPr>
        <w:t>10</w:t>
      </w:r>
      <w:r>
        <w:rPr>
          <w:rFonts w:hint="eastAsia" w:ascii="宋体" w:hAnsi="宋体"/>
          <w:color w:val="FF0000"/>
          <w:kern w:val="2"/>
          <w:sz w:val="21"/>
          <w:szCs w:val="21"/>
        </w:rPr>
        <w:t xml:space="preserve">月 </w:t>
      </w:r>
      <w:r>
        <w:rPr>
          <w:rFonts w:hint="eastAsia" w:ascii="宋体" w:hAnsi="宋体"/>
          <w:color w:val="FF0000"/>
          <w:kern w:val="2"/>
          <w:sz w:val="21"/>
          <w:szCs w:val="21"/>
          <w:lang w:val="en-US" w:eastAsia="zh-CN"/>
        </w:rPr>
        <w:t>9</w:t>
      </w:r>
      <w:r>
        <w:rPr>
          <w:rFonts w:hint="eastAsia" w:ascii="宋体" w:hAnsi="宋体"/>
          <w:color w:val="FF0000"/>
          <w:kern w:val="2"/>
          <w:sz w:val="21"/>
          <w:szCs w:val="21"/>
        </w:rPr>
        <w:t>日至2020年</w:t>
      </w:r>
      <w:r>
        <w:rPr>
          <w:rFonts w:hint="eastAsia" w:ascii="宋体" w:hAnsi="宋体"/>
          <w:color w:val="FF0000"/>
          <w:kern w:val="2"/>
          <w:sz w:val="21"/>
          <w:szCs w:val="21"/>
          <w:lang w:val="en-US" w:eastAsia="zh-CN"/>
        </w:rPr>
        <w:t>10</w:t>
      </w:r>
      <w:r>
        <w:rPr>
          <w:rFonts w:hint="eastAsia" w:ascii="宋体" w:hAnsi="宋体"/>
          <w:color w:val="FF0000"/>
          <w:kern w:val="2"/>
          <w:sz w:val="21"/>
          <w:szCs w:val="21"/>
        </w:rPr>
        <w:t>月</w:t>
      </w:r>
      <w:r>
        <w:rPr>
          <w:rFonts w:hint="eastAsia" w:ascii="宋体" w:hAnsi="宋体"/>
          <w:color w:val="FF0000"/>
          <w:kern w:val="2"/>
          <w:sz w:val="21"/>
          <w:szCs w:val="21"/>
          <w:lang w:val="en-US" w:eastAsia="zh-CN"/>
        </w:rPr>
        <w:t>15</w:t>
      </w:r>
      <w:r>
        <w:rPr>
          <w:rFonts w:hint="eastAsia" w:ascii="宋体" w:hAnsi="宋体"/>
          <w:color w:val="FF0000"/>
          <w:kern w:val="2"/>
          <w:sz w:val="21"/>
          <w:szCs w:val="21"/>
        </w:rPr>
        <w:t xml:space="preserve"> 日上</w:t>
      </w:r>
      <w:r>
        <w:rPr>
          <w:rFonts w:hint="eastAsia" w:ascii="宋体" w:hAnsi="宋体"/>
          <w:kern w:val="2"/>
          <w:sz w:val="21"/>
          <w:szCs w:val="21"/>
        </w:rPr>
        <w:t>午9：00—11：00时，下午14：30—16:30时（北京时间，下同），将单位介绍信或委托书、营业执照（副本）、资质证书（副本）、经办人身份证、汇款凭证及上述资料复印件一套（加盖单位公章）发送到236492213@qq.com，并注明联系人联系电话以及发票邮寄地址(含开票资料Word版本)，资料审核无误后发放招标文件。</w:t>
      </w:r>
    </w:p>
    <w:p>
      <w:pPr>
        <w:pStyle w:val="4"/>
        <w:spacing w:line="440" w:lineRule="exact"/>
        <w:ind w:firstLine="315" w:firstLineChars="150"/>
        <w:jc w:val="both"/>
        <w:rPr>
          <w:rFonts w:hint="eastAsia" w:ascii="宋体" w:hAnsi="宋体"/>
          <w:kern w:val="2"/>
          <w:sz w:val="21"/>
          <w:szCs w:val="21"/>
        </w:rPr>
      </w:pPr>
      <w:r>
        <w:rPr>
          <w:rFonts w:hint="eastAsia" w:ascii="宋体" w:hAnsi="宋体"/>
          <w:kern w:val="2"/>
          <w:sz w:val="21"/>
          <w:szCs w:val="21"/>
        </w:rPr>
        <w:t>4.2、地点：</w:t>
      </w:r>
      <w:r>
        <w:rPr>
          <w:rFonts w:hint="eastAsia" w:ascii="宋体" w:hAnsi="宋体"/>
          <w:kern w:val="2"/>
          <w:sz w:val="21"/>
          <w:szCs w:val="21"/>
          <w:lang w:val="zh-CN"/>
        </w:rPr>
        <w:t>嘉兴市</w:t>
      </w:r>
      <w:r>
        <w:rPr>
          <w:rFonts w:hint="eastAsia" w:ascii="宋体" w:hAnsi="宋体"/>
          <w:kern w:val="2"/>
          <w:sz w:val="21"/>
          <w:szCs w:val="21"/>
        </w:rPr>
        <w:t>秀洲区中山西路711号4号梯4楼</w:t>
      </w:r>
    </w:p>
    <w:p>
      <w:pPr>
        <w:pStyle w:val="4"/>
        <w:spacing w:line="440" w:lineRule="exact"/>
        <w:ind w:firstLine="315" w:firstLineChars="150"/>
        <w:jc w:val="both"/>
        <w:rPr>
          <w:rFonts w:hint="eastAsia" w:ascii="宋体" w:hAnsi="宋体"/>
          <w:kern w:val="2"/>
          <w:sz w:val="21"/>
          <w:szCs w:val="21"/>
        </w:rPr>
      </w:pPr>
      <w:r>
        <w:rPr>
          <w:rFonts w:hint="eastAsia" w:ascii="宋体" w:hAnsi="宋体"/>
          <w:kern w:val="2"/>
          <w:sz w:val="21"/>
          <w:szCs w:val="21"/>
        </w:rPr>
        <w:t>4.3、招标文件工本费：人民币300元，售后不退。</w:t>
      </w:r>
    </w:p>
    <w:p>
      <w:pPr>
        <w:pStyle w:val="4"/>
        <w:spacing w:line="440" w:lineRule="exact"/>
        <w:ind w:firstLine="315" w:firstLineChars="150"/>
        <w:jc w:val="both"/>
        <w:rPr>
          <w:rFonts w:ascii="宋体" w:hAnsi="宋体"/>
          <w:kern w:val="2"/>
          <w:sz w:val="21"/>
          <w:szCs w:val="21"/>
        </w:rPr>
      </w:pPr>
      <w:r>
        <w:rPr>
          <w:rFonts w:hint="eastAsia" w:ascii="宋体" w:hAnsi="宋体"/>
          <w:kern w:val="2"/>
          <w:sz w:val="21"/>
          <w:szCs w:val="21"/>
        </w:rPr>
        <w:t>4.4、汇款账号：</w:t>
      </w:r>
    </w:p>
    <w:p>
      <w:pPr>
        <w:pStyle w:val="4"/>
        <w:spacing w:line="440" w:lineRule="exact"/>
        <w:ind w:firstLine="315" w:firstLineChars="150"/>
        <w:jc w:val="both"/>
        <w:rPr>
          <w:rFonts w:hint="eastAsia" w:ascii="宋体" w:hAnsi="宋体"/>
          <w:kern w:val="2"/>
          <w:sz w:val="21"/>
          <w:szCs w:val="21"/>
        </w:rPr>
      </w:pPr>
      <w:r>
        <w:rPr>
          <w:rFonts w:hint="eastAsia" w:ascii="宋体" w:hAnsi="宋体"/>
          <w:kern w:val="2"/>
          <w:sz w:val="21"/>
          <w:szCs w:val="21"/>
        </w:rPr>
        <w:t>招标人名称：浙江科信联合工程项目管理咨询有限公司秀洲分公司</w:t>
      </w:r>
    </w:p>
    <w:p>
      <w:pPr>
        <w:pStyle w:val="4"/>
        <w:spacing w:line="440" w:lineRule="exact"/>
        <w:ind w:firstLine="315" w:firstLineChars="150"/>
        <w:jc w:val="both"/>
        <w:rPr>
          <w:rFonts w:hint="eastAsia" w:ascii="宋体" w:hAnsi="宋体"/>
          <w:kern w:val="2"/>
          <w:sz w:val="21"/>
          <w:szCs w:val="21"/>
        </w:rPr>
      </w:pPr>
      <w:r>
        <w:rPr>
          <w:rFonts w:hint="eastAsia" w:ascii="宋体" w:hAnsi="宋体"/>
          <w:kern w:val="2"/>
          <w:sz w:val="21"/>
          <w:szCs w:val="21"/>
        </w:rPr>
        <w:t>开户银行：浙江禾城农村商业银行股份有限公司秀洲支行</w:t>
      </w:r>
    </w:p>
    <w:p>
      <w:pPr>
        <w:pStyle w:val="4"/>
        <w:spacing w:line="440" w:lineRule="exact"/>
        <w:ind w:firstLine="315" w:firstLineChars="150"/>
        <w:jc w:val="both"/>
        <w:rPr>
          <w:rFonts w:hint="eastAsia" w:ascii="宋体" w:hAnsi="宋体"/>
          <w:kern w:val="2"/>
          <w:sz w:val="21"/>
          <w:szCs w:val="21"/>
        </w:rPr>
      </w:pPr>
      <w:r>
        <w:rPr>
          <w:rFonts w:hint="eastAsia" w:ascii="宋体" w:hAnsi="宋体"/>
          <w:kern w:val="2"/>
          <w:sz w:val="21"/>
          <w:szCs w:val="21"/>
        </w:rPr>
        <w:t xml:space="preserve">帐  号： 2010 0023 9283 010    </w:t>
      </w:r>
    </w:p>
    <w:p>
      <w:pPr>
        <w:pStyle w:val="5"/>
        <w:spacing w:line="460" w:lineRule="exact"/>
        <w:jc w:val="both"/>
        <w:rPr>
          <w:rFonts w:ascii="宋体" w:hAnsi="宋体" w:eastAsia="宋体"/>
          <w:kern w:val="2"/>
          <w:szCs w:val="24"/>
        </w:rPr>
      </w:pPr>
      <w:r>
        <w:rPr>
          <w:rFonts w:hint="eastAsia" w:ascii="宋体" w:hAnsi="宋体" w:eastAsia="宋体"/>
          <w:kern w:val="2"/>
          <w:szCs w:val="24"/>
        </w:rPr>
        <w:t>5．</w:t>
      </w:r>
      <w:bookmarkEnd w:id="18"/>
      <w:bookmarkStart w:id="23" w:name="_Toc247704724"/>
      <w:bookmarkStart w:id="24" w:name="_Toc252717924"/>
      <w:r>
        <w:rPr>
          <w:rFonts w:hint="eastAsia" w:ascii="宋体" w:hAnsi="宋体" w:eastAsia="宋体"/>
          <w:kern w:val="2"/>
          <w:szCs w:val="24"/>
        </w:rPr>
        <w:t>投标文件的递交</w:t>
      </w:r>
      <w:bookmarkEnd w:id="23"/>
      <w:bookmarkEnd w:id="24"/>
      <w:r>
        <w:rPr>
          <w:rFonts w:hint="eastAsia" w:ascii="宋体" w:hAnsi="宋体" w:eastAsia="宋体"/>
          <w:kern w:val="2"/>
          <w:szCs w:val="24"/>
        </w:rPr>
        <w:t>及相关事宜</w:t>
      </w:r>
      <w:bookmarkEnd w:id="19"/>
      <w:bookmarkEnd w:id="20"/>
      <w:bookmarkEnd w:id="21"/>
    </w:p>
    <w:p>
      <w:pPr>
        <w:pStyle w:val="4"/>
        <w:spacing w:line="440" w:lineRule="exact"/>
        <w:ind w:firstLine="315" w:firstLineChars="150"/>
        <w:jc w:val="both"/>
        <w:rPr>
          <w:rFonts w:hint="eastAsia" w:ascii="宋体" w:hAnsi="宋体"/>
          <w:kern w:val="2"/>
          <w:sz w:val="21"/>
          <w:szCs w:val="21"/>
        </w:rPr>
      </w:pPr>
      <w:bookmarkStart w:id="25" w:name="_Toc252717925"/>
      <w:bookmarkStart w:id="26" w:name="_Toc247704725"/>
      <w:bookmarkStart w:id="27" w:name="_Toc9421145"/>
      <w:bookmarkStart w:id="28" w:name="_Toc360434692"/>
      <w:bookmarkStart w:id="29" w:name="_Toc354819684"/>
      <w:r>
        <w:rPr>
          <w:rFonts w:hint="eastAsia" w:ascii="宋体" w:hAnsi="宋体"/>
          <w:kern w:val="2"/>
          <w:sz w:val="21"/>
          <w:szCs w:val="21"/>
        </w:rPr>
        <w:t>5.1招标人不统一组织现场考察，投标人自行安排。招标人不召开标前会议。</w:t>
      </w:r>
    </w:p>
    <w:p>
      <w:pPr>
        <w:pStyle w:val="4"/>
        <w:spacing w:line="440" w:lineRule="exact"/>
        <w:ind w:firstLine="315" w:firstLineChars="150"/>
        <w:jc w:val="both"/>
        <w:rPr>
          <w:rFonts w:hint="eastAsia" w:ascii="宋体" w:hAnsi="宋体"/>
          <w:kern w:val="2"/>
          <w:sz w:val="21"/>
          <w:szCs w:val="21"/>
        </w:rPr>
      </w:pPr>
      <w:r>
        <w:rPr>
          <w:rFonts w:hint="eastAsia" w:ascii="宋体" w:hAnsi="宋体"/>
          <w:kern w:val="2"/>
          <w:sz w:val="21"/>
          <w:szCs w:val="21"/>
        </w:rPr>
        <w:t>5.2递交投标文件的截止时间为</w:t>
      </w:r>
      <w:r>
        <w:rPr>
          <w:rFonts w:hint="eastAsia" w:ascii="宋体" w:hAnsi="宋体"/>
          <w:color w:val="FF0000"/>
          <w:kern w:val="2"/>
          <w:sz w:val="21"/>
          <w:szCs w:val="21"/>
        </w:rPr>
        <w:t>2020年</w:t>
      </w:r>
      <w:r>
        <w:rPr>
          <w:rFonts w:hint="eastAsia" w:ascii="宋体" w:hAnsi="宋体"/>
          <w:color w:val="FF0000"/>
          <w:kern w:val="2"/>
          <w:sz w:val="21"/>
          <w:szCs w:val="21"/>
          <w:lang w:val="en-US" w:eastAsia="zh-CN"/>
        </w:rPr>
        <w:t xml:space="preserve"> 10</w:t>
      </w:r>
      <w:r>
        <w:rPr>
          <w:rFonts w:hint="eastAsia" w:ascii="宋体" w:hAnsi="宋体"/>
          <w:color w:val="FF0000"/>
          <w:kern w:val="2"/>
          <w:sz w:val="21"/>
          <w:szCs w:val="21"/>
        </w:rPr>
        <w:t>月</w:t>
      </w:r>
      <w:r>
        <w:rPr>
          <w:rFonts w:hint="eastAsia" w:ascii="宋体" w:hAnsi="宋体"/>
          <w:color w:val="FF0000"/>
          <w:kern w:val="2"/>
          <w:sz w:val="21"/>
          <w:szCs w:val="21"/>
          <w:lang w:val="en-US" w:eastAsia="zh-CN"/>
        </w:rPr>
        <w:t xml:space="preserve"> 16</w:t>
      </w:r>
      <w:r>
        <w:rPr>
          <w:rFonts w:hint="eastAsia" w:ascii="宋体" w:hAnsi="宋体"/>
          <w:color w:val="FF0000"/>
          <w:kern w:val="2"/>
          <w:sz w:val="21"/>
          <w:szCs w:val="21"/>
        </w:rPr>
        <w:t>日</w:t>
      </w:r>
      <w:r>
        <w:rPr>
          <w:rFonts w:hint="eastAsia" w:ascii="宋体" w:hAnsi="宋体"/>
          <w:color w:val="FF0000"/>
          <w:kern w:val="2"/>
          <w:sz w:val="21"/>
          <w:szCs w:val="21"/>
          <w:lang w:val="en-US" w:eastAsia="zh-CN"/>
        </w:rPr>
        <w:t>上</w:t>
      </w:r>
      <w:r>
        <w:rPr>
          <w:rFonts w:hint="eastAsia" w:ascii="宋体" w:hAnsi="宋体"/>
          <w:color w:val="FF0000"/>
          <w:kern w:val="2"/>
          <w:sz w:val="21"/>
          <w:szCs w:val="21"/>
        </w:rPr>
        <w:t>午</w:t>
      </w:r>
      <w:r>
        <w:rPr>
          <w:rFonts w:hint="eastAsia" w:ascii="宋体" w:hAnsi="宋体"/>
          <w:color w:val="FF0000"/>
          <w:kern w:val="2"/>
          <w:sz w:val="21"/>
          <w:szCs w:val="21"/>
          <w:lang w:val="en-US" w:eastAsia="zh-CN"/>
        </w:rPr>
        <w:t>9</w:t>
      </w:r>
      <w:r>
        <w:rPr>
          <w:rFonts w:hint="eastAsia" w:ascii="宋体" w:hAnsi="宋体"/>
          <w:color w:val="FF0000"/>
          <w:kern w:val="2"/>
          <w:sz w:val="21"/>
          <w:szCs w:val="21"/>
        </w:rPr>
        <w:t>时</w:t>
      </w:r>
      <w:r>
        <w:rPr>
          <w:rFonts w:hint="eastAsia" w:ascii="宋体" w:hAnsi="宋体"/>
          <w:color w:val="FF0000"/>
          <w:kern w:val="2"/>
          <w:sz w:val="21"/>
          <w:szCs w:val="21"/>
          <w:lang w:val="en-US" w:eastAsia="zh-CN"/>
        </w:rPr>
        <w:t>30</w:t>
      </w:r>
      <w:r>
        <w:rPr>
          <w:rFonts w:hint="eastAsia" w:ascii="宋体" w:hAnsi="宋体"/>
          <w:kern w:val="2"/>
          <w:sz w:val="21"/>
          <w:szCs w:val="21"/>
        </w:rPr>
        <w:t>分整。递交投标文件的地点为  嘉兴市交通投资集团有限责任公司（嘉兴市南湖大道902号）1楼126室 。 招标人将在投标文件递交截止的同一时间、同一地点公开开标。投标人应派法定代表人或其授权代理人（持本人有效身份证明和授权委托书原件）准时参加。</w:t>
      </w:r>
    </w:p>
    <w:p>
      <w:pPr>
        <w:pStyle w:val="4"/>
        <w:spacing w:line="440" w:lineRule="exact"/>
        <w:ind w:firstLine="315" w:firstLineChars="150"/>
        <w:jc w:val="both"/>
        <w:rPr>
          <w:rFonts w:hint="eastAsia" w:ascii="宋体" w:hAnsi="宋体"/>
          <w:kern w:val="2"/>
          <w:sz w:val="21"/>
          <w:szCs w:val="21"/>
        </w:rPr>
      </w:pPr>
      <w:r>
        <w:rPr>
          <w:rFonts w:hint="eastAsia" w:ascii="宋体" w:hAnsi="宋体"/>
          <w:kern w:val="2"/>
          <w:sz w:val="21"/>
          <w:szCs w:val="21"/>
        </w:rPr>
        <w:t>5.3逾期送达的或者未送达指定地点的投标文件，招标人不予接受。</w:t>
      </w:r>
    </w:p>
    <w:p>
      <w:pPr>
        <w:pStyle w:val="4"/>
        <w:spacing w:line="440" w:lineRule="exact"/>
        <w:ind w:firstLine="315" w:firstLineChars="150"/>
        <w:jc w:val="both"/>
        <w:rPr>
          <w:rFonts w:hint="eastAsia" w:ascii="宋体" w:hAnsi="宋体"/>
          <w:kern w:val="2"/>
          <w:sz w:val="21"/>
          <w:szCs w:val="21"/>
        </w:rPr>
      </w:pPr>
      <w:r>
        <w:rPr>
          <w:rFonts w:hint="eastAsia" w:ascii="宋体" w:hAnsi="宋体"/>
          <w:kern w:val="2"/>
          <w:sz w:val="21"/>
          <w:szCs w:val="21"/>
        </w:rPr>
        <w:t>5.4鉴于疫情期间，递交投标文件时只允许法定代表人或者授权委托人1人进入开标室，请确保法定代表人或者授权委托人健康码为绿码，体温正常。</w:t>
      </w:r>
    </w:p>
    <w:p>
      <w:pPr>
        <w:pStyle w:val="5"/>
        <w:spacing w:line="460" w:lineRule="exact"/>
        <w:jc w:val="both"/>
        <w:rPr>
          <w:rFonts w:ascii="宋体" w:hAnsi="宋体" w:eastAsia="宋体"/>
          <w:kern w:val="2"/>
          <w:szCs w:val="24"/>
        </w:rPr>
      </w:pPr>
      <w:r>
        <w:rPr>
          <w:rFonts w:hint="eastAsia" w:ascii="宋体" w:hAnsi="宋体" w:eastAsia="宋体"/>
          <w:kern w:val="2"/>
          <w:szCs w:val="24"/>
        </w:rPr>
        <w:t>6．发布公告的媒介</w:t>
      </w:r>
      <w:bookmarkEnd w:id="25"/>
      <w:bookmarkEnd w:id="26"/>
      <w:bookmarkEnd w:id="27"/>
      <w:bookmarkEnd w:id="28"/>
      <w:bookmarkEnd w:id="29"/>
    </w:p>
    <w:p>
      <w:pPr>
        <w:pStyle w:val="4"/>
        <w:spacing w:line="440" w:lineRule="exact"/>
        <w:ind w:firstLine="525" w:firstLineChars="250"/>
        <w:jc w:val="both"/>
        <w:rPr>
          <w:rFonts w:ascii="宋体" w:hAnsi="宋体"/>
          <w:kern w:val="2"/>
          <w:sz w:val="21"/>
          <w:szCs w:val="21"/>
        </w:rPr>
      </w:pPr>
      <w:r>
        <w:rPr>
          <w:rFonts w:hint="eastAsia" w:ascii="宋体" w:hAnsi="宋体"/>
          <w:kern w:val="2"/>
          <w:sz w:val="21"/>
          <w:szCs w:val="21"/>
        </w:rPr>
        <w:t>本次招标公告同时在嘉兴市公共资源交易中心网站（http://www.jxzbtb.cn/）和嘉兴市交通投资集团有限责任公司网站（http//www.jxjtjt.cn）发布。</w:t>
      </w:r>
    </w:p>
    <w:bookmarkEnd w:id="22"/>
    <w:p>
      <w:pPr>
        <w:pStyle w:val="5"/>
        <w:spacing w:line="460" w:lineRule="exact"/>
        <w:jc w:val="both"/>
        <w:rPr>
          <w:rFonts w:ascii="宋体" w:hAnsi="宋体" w:eastAsia="宋体"/>
          <w:kern w:val="2"/>
          <w:szCs w:val="24"/>
        </w:rPr>
      </w:pPr>
      <w:bookmarkStart w:id="30" w:name="_Toc9421146"/>
      <w:bookmarkStart w:id="31" w:name="_Toc256336404"/>
      <w:bookmarkStart w:id="32" w:name="_Toc387754399"/>
      <w:r>
        <w:rPr>
          <w:rFonts w:hint="eastAsia" w:ascii="宋体" w:hAnsi="宋体" w:eastAsia="宋体"/>
          <w:kern w:val="2"/>
          <w:szCs w:val="24"/>
        </w:rPr>
        <w:t>7．联系方式</w:t>
      </w:r>
      <w:bookmarkEnd w:id="30"/>
      <w:bookmarkEnd w:id="31"/>
      <w:bookmarkEnd w:id="32"/>
    </w:p>
    <w:p>
      <w:pPr>
        <w:pStyle w:val="4"/>
        <w:spacing w:line="400" w:lineRule="exact"/>
        <w:ind w:firstLine="420" w:firstLineChars="200"/>
        <w:jc w:val="both"/>
        <w:rPr>
          <w:rFonts w:hint="eastAsia" w:ascii="宋体" w:hAnsi="宋体" w:eastAsia="Calibri"/>
          <w:kern w:val="2"/>
          <w:sz w:val="21"/>
          <w:szCs w:val="22"/>
        </w:rPr>
      </w:pPr>
      <w:r>
        <w:rPr>
          <w:rFonts w:hint="eastAsia" w:ascii="宋体" w:hAnsi="宋体"/>
          <w:kern w:val="2"/>
          <w:sz w:val="21"/>
          <w:szCs w:val="22"/>
        </w:rPr>
        <w:t>名    称：嘉兴市嘉通高速公路管理有限公司</w:t>
      </w:r>
    </w:p>
    <w:p>
      <w:pPr>
        <w:pStyle w:val="4"/>
        <w:spacing w:line="400" w:lineRule="exact"/>
        <w:ind w:firstLine="420" w:firstLineChars="200"/>
        <w:jc w:val="both"/>
        <w:rPr>
          <w:rFonts w:ascii="宋体" w:hAnsi="宋体"/>
          <w:kern w:val="2"/>
          <w:sz w:val="21"/>
          <w:szCs w:val="22"/>
        </w:rPr>
      </w:pPr>
      <w:r>
        <w:rPr>
          <w:rFonts w:hint="eastAsia" w:ascii="宋体" w:hAnsi="宋体"/>
          <w:kern w:val="2"/>
          <w:sz w:val="21"/>
          <w:szCs w:val="22"/>
        </w:rPr>
        <w:t>地    址：嘉兴市万国路2056号汽车客运中心8楼804室</w:t>
      </w:r>
    </w:p>
    <w:p>
      <w:pPr>
        <w:pStyle w:val="4"/>
        <w:spacing w:line="400" w:lineRule="exact"/>
        <w:ind w:firstLine="420" w:firstLineChars="200"/>
        <w:jc w:val="both"/>
        <w:rPr>
          <w:rFonts w:ascii="宋体" w:hAnsi="宋体"/>
          <w:kern w:val="2"/>
          <w:sz w:val="21"/>
          <w:szCs w:val="22"/>
        </w:rPr>
      </w:pPr>
      <w:r>
        <w:rPr>
          <w:rFonts w:hint="eastAsia" w:ascii="宋体" w:hAnsi="宋体"/>
          <w:kern w:val="2"/>
          <w:sz w:val="21"/>
          <w:szCs w:val="22"/>
        </w:rPr>
        <w:t xml:space="preserve">电    话：0573-83387820            </w:t>
      </w:r>
    </w:p>
    <w:p>
      <w:pPr>
        <w:pStyle w:val="4"/>
        <w:spacing w:line="400" w:lineRule="exact"/>
        <w:ind w:firstLine="420" w:firstLineChars="200"/>
        <w:jc w:val="both"/>
        <w:rPr>
          <w:rFonts w:ascii="宋体" w:hAnsi="宋体"/>
          <w:kern w:val="2"/>
          <w:sz w:val="21"/>
          <w:szCs w:val="22"/>
        </w:rPr>
      </w:pPr>
      <w:r>
        <w:rPr>
          <w:rFonts w:hint="eastAsia" w:ascii="宋体" w:hAnsi="宋体"/>
          <w:kern w:val="2"/>
          <w:sz w:val="21"/>
          <w:szCs w:val="22"/>
        </w:rPr>
        <w:t>联 系 人：叶工</w:t>
      </w:r>
    </w:p>
    <w:p>
      <w:pPr>
        <w:pStyle w:val="4"/>
        <w:spacing w:line="400" w:lineRule="exact"/>
        <w:ind w:firstLine="420" w:firstLineChars="200"/>
        <w:jc w:val="both"/>
        <w:rPr>
          <w:rFonts w:hint="eastAsia" w:ascii="宋体" w:hAnsi="宋体" w:eastAsia="Calibri"/>
          <w:kern w:val="2"/>
          <w:sz w:val="21"/>
          <w:szCs w:val="22"/>
        </w:rPr>
      </w:pPr>
      <w:r>
        <w:rPr>
          <w:rFonts w:hint="eastAsia" w:ascii="宋体" w:hAnsi="宋体"/>
          <w:kern w:val="2"/>
          <w:sz w:val="21"/>
          <w:szCs w:val="22"/>
        </w:rPr>
        <w:t>招标代理：浙江科信联合工程项目管理咨询有限公司</w:t>
      </w:r>
    </w:p>
    <w:p>
      <w:pPr>
        <w:pStyle w:val="4"/>
        <w:spacing w:line="400" w:lineRule="exact"/>
        <w:ind w:firstLine="420" w:firstLineChars="200"/>
        <w:jc w:val="both"/>
        <w:rPr>
          <w:rFonts w:ascii="宋体" w:hAnsi="宋体"/>
          <w:kern w:val="2"/>
          <w:sz w:val="21"/>
          <w:szCs w:val="22"/>
        </w:rPr>
      </w:pPr>
      <w:r>
        <w:rPr>
          <w:rFonts w:hint="eastAsia" w:ascii="宋体" w:hAnsi="宋体"/>
          <w:kern w:val="2"/>
          <w:sz w:val="21"/>
          <w:szCs w:val="22"/>
        </w:rPr>
        <w:t>地    址：</w:t>
      </w:r>
      <w:r>
        <w:rPr>
          <w:rFonts w:hint="eastAsia" w:ascii="宋体" w:hAnsi="宋体"/>
          <w:kern w:val="2"/>
          <w:sz w:val="21"/>
          <w:szCs w:val="22"/>
          <w:lang w:val="zh-CN"/>
        </w:rPr>
        <w:t>嘉兴市</w:t>
      </w:r>
      <w:r>
        <w:rPr>
          <w:rFonts w:hint="eastAsia" w:ascii="宋体" w:hAnsi="宋体"/>
          <w:kern w:val="2"/>
          <w:sz w:val="21"/>
          <w:szCs w:val="22"/>
        </w:rPr>
        <w:t>秀洲区中山西路711号404室</w:t>
      </w:r>
    </w:p>
    <w:p>
      <w:pPr>
        <w:pStyle w:val="4"/>
        <w:spacing w:line="400" w:lineRule="exact"/>
        <w:ind w:firstLine="420" w:firstLineChars="200"/>
        <w:jc w:val="both"/>
        <w:rPr>
          <w:rFonts w:ascii="宋体" w:hAnsi="宋体" w:eastAsia="Calibri"/>
          <w:kern w:val="2"/>
          <w:sz w:val="21"/>
          <w:szCs w:val="22"/>
        </w:rPr>
      </w:pPr>
      <w:r>
        <w:rPr>
          <w:rFonts w:hint="eastAsia" w:ascii="宋体" w:hAnsi="宋体"/>
          <w:kern w:val="2"/>
          <w:sz w:val="21"/>
          <w:szCs w:val="22"/>
        </w:rPr>
        <w:t>电    话：19975263810</w:t>
      </w:r>
    </w:p>
    <w:p>
      <w:pPr>
        <w:pStyle w:val="4"/>
        <w:spacing w:line="400" w:lineRule="exact"/>
        <w:ind w:firstLine="420" w:firstLineChars="200"/>
        <w:jc w:val="both"/>
        <w:rPr>
          <w:rFonts w:hint="eastAsia" w:ascii="宋体" w:hAnsi="宋体" w:eastAsia="Calibri"/>
          <w:kern w:val="2"/>
          <w:sz w:val="21"/>
          <w:szCs w:val="22"/>
        </w:rPr>
      </w:pPr>
      <w:r>
        <w:rPr>
          <w:rFonts w:hint="eastAsia" w:ascii="宋体" w:hAnsi="宋体"/>
          <w:kern w:val="2"/>
          <w:sz w:val="21"/>
          <w:szCs w:val="22"/>
        </w:rPr>
        <w:t>联 系 人：谢工</w:t>
      </w:r>
    </w:p>
    <w:p>
      <w:pPr>
        <w:pStyle w:val="4"/>
        <w:spacing w:line="360" w:lineRule="auto"/>
        <w:ind w:right="735"/>
        <w:jc w:val="right"/>
        <w:rPr>
          <w:rFonts w:hint="eastAsia" w:ascii="宋体" w:hAnsi="宋体" w:eastAsia="Calibri"/>
          <w:kern w:val="2"/>
          <w:sz w:val="21"/>
          <w:szCs w:val="22"/>
        </w:rPr>
      </w:pPr>
      <w:r>
        <w:rPr>
          <w:rFonts w:hint="eastAsia"/>
          <w:kern w:val="2"/>
          <w:sz w:val="21"/>
          <w:szCs w:val="21"/>
        </w:rPr>
        <w:t>嘉兴市嘉通高速公路管理有限公司</w:t>
      </w:r>
    </w:p>
    <w:p>
      <w:pPr>
        <w:pStyle w:val="4"/>
        <w:wordWrap w:val="0"/>
        <w:spacing w:line="360" w:lineRule="auto"/>
        <w:ind w:right="1366"/>
        <w:jc w:val="right"/>
        <w:rPr>
          <w:rFonts w:ascii="宋体" w:hAnsi="宋体"/>
          <w:kern w:val="2"/>
          <w:sz w:val="21"/>
          <w:szCs w:val="22"/>
        </w:rPr>
      </w:pPr>
      <w:r>
        <w:rPr>
          <w:rFonts w:hint="eastAsia" w:ascii="宋体" w:hAnsi="宋体"/>
          <w:kern w:val="2"/>
          <w:sz w:val="21"/>
          <w:szCs w:val="21"/>
        </w:rPr>
        <w:t>20</w:t>
      </w:r>
      <w:r>
        <w:rPr>
          <w:rFonts w:ascii="宋体" w:hAnsi="宋体"/>
          <w:kern w:val="2"/>
          <w:sz w:val="21"/>
          <w:szCs w:val="21"/>
        </w:rPr>
        <w:t>20</w:t>
      </w:r>
      <w:r>
        <w:rPr>
          <w:rFonts w:hint="eastAsia" w:ascii="宋体" w:hAnsi="宋体"/>
          <w:kern w:val="2"/>
          <w:sz w:val="21"/>
          <w:szCs w:val="21"/>
        </w:rPr>
        <w:t>年</w:t>
      </w:r>
      <w:r>
        <w:rPr>
          <w:rFonts w:hint="eastAsia" w:ascii="宋体" w:hAnsi="宋体"/>
          <w:kern w:val="2"/>
          <w:sz w:val="21"/>
          <w:szCs w:val="21"/>
          <w:lang w:val="en-US" w:eastAsia="zh-CN"/>
        </w:rPr>
        <w:t>10</w:t>
      </w:r>
      <w:r>
        <w:rPr>
          <w:rFonts w:hint="eastAsia" w:ascii="宋体" w:hAnsi="宋体"/>
          <w:kern w:val="2"/>
          <w:sz w:val="21"/>
          <w:szCs w:val="21"/>
        </w:rPr>
        <w:t>月</w:t>
      </w:r>
      <w:bookmarkStart w:id="33" w:name="_GoBack"/>
      <w:bookmarkEnd w:id="33"/>
      <w:r>
        <w:rPr>
          <w:rFonts w:ascii="宋体" w:hAnsi="宋体"/>
          <w:kern w:val="2"/>
          <w:sz w:val="21"/>
          <w:szCs w:val="21"/>
        </w:rPr>
        <w:t xml:space="preserve">  </w:t>
      </w:r>
    </w:p>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CB77D7"/>
    <w:rsid w:val="73CB77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Normal_0"/>
    <w:qFormat/>
    <w:uiPriority w:val="0"/>
    <w:pPr>
      <w:widowControl w:val="0"/>
    </w:pPr>
    <w:rPr>
      <w:rFonts w:ascii="Times New Roman" w:hAnsi="Times New Roman" w:eastAsia="宋体" w:cs="Times New Roman"/>
      <w:lang w:val="en-US" w:eastAsia="zh-CN" w:bidi="ar-SA"/>
    </w:rPr>
  </w:style>
  <w:style w:type="paragraph" w:customStyle="1" w:styleId="5">
    <w:name w:val="Heading 3_0"/>
    <w:basedOn w:val="4"/>
    <w:next w:val="4"/>
    <w:unhideWhenUsed/>
    <w:qFormat/>
    <w:uiPriority w:val="0"/>
    <w:pPr>
      <w:keepNext/>
      <w:keepLines/>
      <w:spacing w:line="440" w:lineRule="exact"/>
      <w:outlineLvl w:val="2"/>
    </w:pPr>
    <w:rPr>
      <w:rFonts w:ascii="Times New Roman" w:hAnsi="Times New Roman" w:eastAsia="Times New Roman"/>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2020-09-30T03:22:00Z</dcterms:created>
  <dc:creator>剁了的鱼</dc:creator>
  <cp:lastModifiedBy>剁了的鱼</cp:lastModifiedBy>
  <dcterms:modified xsi:type="dcterms:W3CDTF">2020-09-30T03:26:09Z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